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74A42" w14:textId="01788C32" w:rsidR="00401261" w:rsidRDefault="00401261">
      <w:r>
        <w:fldChar w:fldCharType="begin"/>
      </w:r>
      <w:r>
        <w:instrText xml:space="preserve"> FILENAME   \* MERGEFORMAT </w:instrText>
      </w:r>
      <w:r>
        <w:fldChar w:fldCharType="separate"/>
      </w:r>
      <w:r>
        <w:rPr>
          <w:noProof/>
        </w:rPr>
        <w:t>TEAMER 13 Final Report 2025-0042 Simulink data_README.docx</w:t>
      </w:r>
      <w:r>
        <w:fldChar w:fldCharType="end"/>
      </w:r>
    </w:p>
    <w:p w14:paraId="2674FBDF" w14:textId="77777777" w:rsidR="00E92439" w:rsidRDefault="00E92439"/>
    <w:p w14:paraId="6313BB28" w14:textId="65BC44A5" w:rsidR="00B65151" w:rsidRDefault="008565F0">
      <w:r>
        <w:t xml:space="preserve">Data and models </w:t>
      </w:r>
      <w:r w:rsidR="00B80094">
        <w:t>used</w:t>
      </w:r>
      <w:r w:rsidR="00183297">
        <w:t xml:space="preserve"> </w:t>
      </w:r>
      <w:r w:rsidR="00FD2BE1">
        <w:t>in Simulink model of C-Power StingRAY power system.</w:t>
      </w:r>
    </w:p>
    <w:p w14:paraId="395C2271" w14:textId="17AF2E5B" w:rsidR="00C03AD1" w:rsidRDefault="00C03AD1">
      <w:r>
        <w:t>To run the model, copy the files/folder below into a folder</w:t>
      </w:r>
      <w:r w:rsidR="00EC7F4B">
        <w:t xml:space="preserve">. Open MATLAB 2024b or later. </w:t>
      </w:r>
    </w:p>
    <w:p w14:paraId="799C7CFD" w14:textId="033B4BFA" w:rsidR="00E452ED" w:rsidRDefault="009E7477" w:rsidP="00E452ED">
      <w:pPr>
        <w:pStyle w:val="ListParagraph"/>
        <w:numPr>
          <w:ilvl w:val="0"/>
          <w:numId w:val="1"/>
        </w:numPr>
      </w:pPr>
      <w:r>
        <w:t xml:space="preserve">Folder </w:t>
      </w:r>
      <w:proofErr w:type="spellStart"/>
      <w:r w:rsidR="009E69EB" w:rsidRPr="009E69EB">
        <w:t>ov_original_data</w:t>
      </w:r>
      <w:proofErr w:type="spellEnd"/>
    </w:p>
    <w:p w14:paraId="3C576877" w14:textId="30FC57FC" w:rsidR="009E7477" w:rsidRDefault="009E69EB" w:rsidP="009E7477">
      <w:pPr>
        <w:pStyle w:val="ListParagraph"/>
        <w:numPr>
          <w:ilvl w:val="1"/>
          <w:numId w:val="1"/>
        </w:numPr>
      </w:pPr>
      <w:r>
        <w:t>Contains</w:t>
      </w:r>
      <w:r w:rsidR="008E50B7">
        <w:t xml:space="preserve"> MATLAB </w:t>
      </w:r>
      <w:r>
        <w:t xml:space="preserve">file </w:t>
      </w:r>
      <w:r w:rsidR="00251F4B" w:rsidRPr="00251F4B">
        <w:t>N7638cs81.mat</w:t>
      </w:r>
      <w:r w:rsidR="00251F4B">
        <w:t xml:space="preserve">, the wave data set with the highest velocity waves. To analyze other data, move the appropriate *.mat file to this directory and change the filename called within </w:t>
      </w:r>
      <w:proofErr w:type="spellStart"/>
      <w:r w:rsidR="00251F4B" w:rsidRPr="00531AAF">
        <w:t>Init_PMSG_System.m</w:t>
      </w:r>
      <w:proofErr w:type="spellEnd"/>
      <w:r w:rsidR="00251F4B">
        <w:t>.</w:t>
      </w:r>
    </w:p>
    <w:p w14:paraId="7B5ABD51" w14:textId="65FB7729" w:rsidR="00DC4426" w:rsidRDefault="00744F44" w:rsidP="00FF3DD0">
      <w:pPr>
        <w:pStyle w:val="ListParagraph"/>
        <w:numPr>
          <w:ilvl w:val="0"/>
          <w:numId w:val="1"/>
        </w:numPr>
      </w:pPr>
      <w:r>
        <w:t xml:space="preserve">MATLAB file: </w:t>
      </w:r>
      <w:proofErr w:type="spellStart"/>
      <w:r w:rsidR="00531AAF" w:rsidRPr="00531AAF">
        <w:t>Init_PMSG_System.m</w:t>
      </w:r>
      <w:proofErr w:type="spellEnd"/>
    </w:p>
    <w:p w14:paraId="582EDDFB" w14:textId="1AFA1C44" w:rsidR="008A46BF" w:rsidRDefault="00F92E82" w:rsidP="00CB01C1">
      <w:pPr>
        <w:pStyle w:val="ListParagraph"/>
        <w:numPr>
          <w:ilvl w:val="1"/>
          <w:numId w:val="1"/>
        </w:numPr>
      </w:pPr>
      <w:r>
        <w:t>MATLAB</w:t>
      </w:r>
      <w:r w:rsidR="005662B8">
        <w:t xml:space="preserve"> file that </w:t>
      </w:r>
      <w:r w:rsidR="00AB5F35">
        <w:t xml:space="preserve">initializes different parameters for Simulink model </w:t>
      </w:r>
      <w:r w:rsidR="00076328" w:rsidRPr="00076328">
        <w:t>PMSG_System_18May2025.slx</w:t>
      </w:r>
      <w:r w:rsidR="00076328">
        <w:t xml:space="preserve">. </w:t>
      </w:r>
    </w:p>
    <w:p w14:paraId="22BAA543" w14:textId="471442A3" w:rsidR="00797227" w:rsidRDefault="00C35049" w:rsidP="00CB01C1">
      <w:pPr>
        <w:pStyle w:val="ListParagraph"/>
        <w:numPr>
          <w:ilvl w:val="1"/>
          <w:numId w:val="1"/>
        </w:numPr>
      </w:pPr>
      <w:r>
        <w:t>Determines which *.mat file</w:t>
      </w:r>
      <w:r w:rsidR="004B50FF">
        <w:t xml:space="preserve"> that wave velocity data is extracted from. Default is the set with the highest velocity waves, which produce</w:t>
      </w:r>
      <w:r w:rsidR="005F409C">
        <w:t>s</w:t>
      </w:r>
      <w:r w:rsidR="004B50FF">
        <w:t xml:space="preserve"> </w:t>
      </w:r>
      <w:r w:rsidR="005F409C">
        <w:t xml:space="preserve">voltages that cause overvoltage trips: </w:t>
      </w:r>
      <w:r w:rsidR="005F409C" w:rsidRPr="005F409C">
        <w:t>N7638cs81.mat</w:t>
      </w:r>
      <w:r w:rsidR="00042899">
        <w:t xml:space="preserve">, which is located in folder </w:t>
      </w:r>
      <w:proofErr w:type="spellStart"/>
      <w:r w:rsidR="00042899" w:rsidRPr="00042899">
        <w:t>ov_original_data</w:t>
      </w:r>
      <w:proofErr w:type="spellEnd"/>
      <w:r w:rsidR="00797227">
        <w:t>.</w:t>
      </w:r>
      <w:r w:rsidR="00042899">
        <w:t xml:space="preserve"> It also selects which period of time within that wave data</w:t>
      </w:r>
      <w:r w:rsidR="00175D44">
        <w:t xml:space="preserve"> are analyzed. It currently selects a 12-second portion from sample 16431 to </w:t>
      </w:r>
      <w:r w:rsidR="00AB3739">
        <w:t>16550</w:t>
      </w:r>
      <w:r w:rsidR="000550D2">
        <w:t>, which is a period with speed exceeding 10 RPM</w:t>
      </w:r>
      <w:r w:rsidR="00AB3739">
        <w:t>.</w:t>
      </w:r>
    </w:p>
    <w:p w14:paraId="1B3E5681" w14:textId="69C25B79" w:rsidR="001D17FB" w:rsidRDefault="00AB3739" w:rsidP="004E589F">
      <w:pPr>
        <w:pStyle w:val="ListParagraph"/>
        <w:numPr>
          <w:ilvl w:val="1"/>
          <w:numId w:val="1"/>
        </w:numPr>
      </w:pPr>
      <w:r>
        <w:t>Sets par</w:t>
      </w:r>
      <w:r w:rsidR="004E589F">
        <w:t>a</w:t>
      </w:r>
      <w:r>
        <w:t xml:space="preserve">meters for all components to align with </w:t>
      </w:r>
      <w:r w:rsidR="004E589F">
        <w:t>the system as described in the report.</w:t>
      </w:r>
    </w:p>
    <w:p w14:paraId="30E0B499" w14:textId="76BD95F9" w:rsidR="00130E19" w:rsidRDefault="00F92E82" w:rsidP="00130E19">
      <w:pPr>
        <w:pStyle w:val="ListParagraph"/>
        <w:numPr>
          <w:ilvl w:val="0"/>
          <w:numId w:val="1"/>
        </w:numPr>
      </w:pPr>
      <w:r>
        <w:t>MATLAB Simulink File</w:t>
      </w:r>
      <w:r w:rsidR="00744F44">
        <w:t xml:space="preserve">: </w:t>
      </w:r>
      <w:r w:rsidRPr="00F92E82">
        <w:t>PMSG_System_18May2025.slx</w:t>
      </w:r>
    </w:p>
    <w:p w14:paraId="371DD544" w14:textId="6F418336" w:rsidR="00DB3620" w:rsidRDefault="00F92E82" w:rsidP="00DB3620">
      <w:pPr>
        <w:pStyle w:val="ListParagraph"/>
        <w:numPr>
          <w:ilvl w:val="1"/>
          <w:numId w:val="1"/>
        </w:numPr>
      </w:pPr>
      <w:r>
        <w:t xml:space="preserve">Detailed Simulink model of the </w:t>
      </w:r>
      <w:r w:rsidR="00EC5490">
        <w:t>StingRAY power system</w:t>
      </w:r>
      <w:r w:rsidR="000135A9">
        <w:t xml:space="preserve"> as described in the report.</w:t>
      </w:r>
    </w:p>
    <w:p w14:paraId="063BC750" w14:textId="214CC1B4" w:rsidR="000135A9" w:rsidRDefault="000135A9" w:rsidP="00DB3620">
      <w:pPr>
        <w:pStyle w:val="ListParagraph"/>
        <w:numPr>
          <w:ilvl w:val="1"/>
          <w:numId w:val="1"/>
        </w:numPr>
      </w:pPr>
      <w:r>
        <w:t>Contains the following main blocks:</w:t>
      </w:r>
    </w:p>
    <w:p w14:paraId="00E6D730" w14:textId="6A6CEFD9" w:rsidR="00551C55" w:rsidRDefault="000135A9" w:rsidP="000135A9">
      <w:pPr>
        <w:pStyle w:val="ListParagraph"/>
        <w:numPr>
          <w:ilvl w:val="2"/>
          <w:numId w:val="1"/>
        </w:numPr>
      </w:pPr>
      <w:r>
        <w:t>PMSG – the model of the Permanent Magnet Generator</w:t>
      </w:r>
      <w:r w:rsidR="00AB7310">
        <w:t xml:space="preserve">. </w:t>
      </w:r>
      <w:r w:rsidR="003342DC">
        <w:t>Here the user can select wave data or a simple sine wave as speed input to the generator</w:t>
      </w:r>
      <w:r w:rsidR="00D72324">
        <w:t xml:space="preserve"> by commenting out the source that’s not used and connecting the source that is used to the </w:t>
      </w:r>
      <w:r w:rsidR="00D03B25">
        <w:t>absolute value block labeled |</w:t>
      </w:r>
      <w:r w:rsidR="00D03B25" w:rsidRPr="00D03B25">
        <w:rPr>
          <w:i/>
          <w:iCs/>
        </w:rPr>
        <w:t>u</w:t>
      </w:r>
      <w:r w:rsidR="00D03B25">
        <w:t xml:space="preserve">|. Below shows the setup </w:t>
      </w:r>
      <w:r w:rsidR="00A17FCF">
        <w:t xml:space="preserve">of the “Select RPM Source” block </w:t>
      </w:r>
      <w:r w:rsidR="00D03B25">
        <w:t>with the sine wave commented out and the wave data connected.</w:t>
      </w:r>
      <w:r w:rsidR="00B16891">
        <w:t xml:space="preserve"> </w:t>
      </w:r>
    </w:p>
    <w:p w14:paraId="2D83B3EF" w14:textId="2D1E5D1C" w:rsidR="000135A9" w:rsidRDefault="00B16891" w:rsidP="00551C55">
      <w:pPr>
        <w:ind w:left="720"/>
        <w:jc w:val="right"/>
      </w:pPr>
      <w:r w:rsidRPr="00B16891">
        <w:rPr>
          <w:noProof/>
        </w:rPr>
        <w:drawing>
          <wp:inline distT="0" distB="0" distL="0" distR="0" wp14:anchorId="34006290" wp14:editId="69D437F5">
            <wp:extent cx="4590461" cy="2410483"/>
            <wp:effectExtent l="19050" t="19050" r="19685" b="27940"/>
            <wp:docPr id="1294192426" name="Picture 1" descr="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192426" name="Picture 1" descr="Diagram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10262" cy="242088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D194B15" w14:textId="1E1291FB" w:rsidR="00D03B25" w:rsidRDefault="00B86F76" w:rsidP="000135A9">
      <w:pPr>
        <w:pStyle w:val="ListParagraph"/>
        <w:numPr>
          <w:ilvl w:val="2"/>
          <w:numId w:val="1"/>
        </w:numPr>
      </w:pPr>
      <w:r>
        <w:t>AC/DC Converter – This is the model for the AC/DC rectifier used to extract energy from the PMSG</w:t>
      </w:r>
      <w:r w:rsidR="00D53159">
        <w:t xml:space="preserve">. It uses Simulink’s standard Average-Value VSC (voltage source converter) to model the </w:t>
      </w:r>
      <w:r w:rsidR="002761C7">
        <w:t xml:space="preserve">rectifier. </w:t>
      </w:r>
      <w:r w:rsidR="009A231A">
        <w:t xml:space="preserve">The </w:t>
      </w:r>
      <w:r w:rsidR="00312DB8">
        <w:t xml:space="preserve">Outer loop id </w:t>
      </w:r>
      <w:proofErr w:type="spellStart"/>
      <w:r w:rsidR="00312DB8">
        <w:t>iq</w:t>
      </w:r>
      <w:proofErr w:type="spellEnd"/>
      <w:r w:rsidR="00312DB8">
        <w:t xml:space="preserve"> control block within the </w:t>
      </w:r>
      <w:r w:rsidR="009A231A">
        <w:t xml:space="preserve">Field Oriented </w:t>
      </w:r>
      <w:r w:rsidR="00312DB8">
        <w:t xml:space="preserve">Control block is where flux weakening can be implemented. </w:t>
      </w:r>
      <w:r w:rsidR="0076221D">
        <w:t>Per the report, it is designed to kick in 7.35 RPM</w:t>
      </w:r>
      <w:r w:rsidR="009F6D37">
        <w:t xml:space="preserve">. It can be disabled by disconnecting the output of the “Enable flux weakening. Switch at 7.35 RPM” </w:t>
      </w:r>
      <w:r w:rsidR="009835F2">
        <w:t xml:space="preserve">block from the multiplexer in front of the </w:t>
      </w:r>
      <w:proofErr w:type="spellStart"/>
      <w:r w:rsidR="009835F2">
        <w:t>idq_ref</w:t>
      </w:r>
      <w:proofErr w:type="spellEnd"/>
      <w:r w:rsidR="009835F2">
        <w:t xml:space="preserve"> </w:t>
      </w:r>
      <w:r w:rsidR="00803B7C">
        <w:t xml:space="preserve">output port and upper </w:t>
      </w:r>
      <w:r w:rsidR="008C75F0">
        <w:t>scope multiplexer then</w:t>
      </w:r>
      <w:r w:rsidR="00803B7C">
        <w:t xml:space="preserve"> connecting </w:t>
      </w:r>
      <w:r w:rsidR="003F2F68">
        <w:t>a constant zero block in its place.</w:t>
      </w:r>
    </w:p>
    <w:p w14:paraId="2147059E" w14:textId="6F1B2EF4" w:rsidR="007D56FC" w:rsidRDefault="007D56FC" w:rsidP="007D56FC">
      <w:pPr>
        <w:pStyle w:val="ListParagraph"/>
        <w:numPr>
          <w:ilvl w:val="3"/>
          <w:numId w:val="1"/>
        </w:numPr>
      </w:pPr>
      <w:r>
        <w:t>Flux weakening enabled shown here:</w:t>
      </w:r>
    </w:p>
    <w:p w14:paraId="7499D848" w14:textId="033D0ED1" w:rsidR="007D56FC" w:rsidRDefault="00627FF7" w:rsidP="002C0209">
      <w:pPr>
        <w:ind w:left="2520"/>
      </w:pPr>
      <w:r w:rsidRPr="00627FF7">
        <w:rPr>
          <w:noProof/>
        </w:rPr>
        <w:lastRenderedPageBreak/>
        <w:drawing>
          <wp:inline distT="0" distB="0" distL="0" distR="0" wp14:anchorId="586E2298" wp14:editId="2D9EA1FC">
            <wp:extent cx="3866655" cy="2103940"/>
            <wp:effectExtent l="19050" t="19050" r="19685" b="10795"/>
            <wp:docPr id="1306324833" name="Picture 1" descr="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324833" name="Picture 1" descr="Diagr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77881" cy="211004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2B852D2" w14:textId="609FCCB6" w:rsidR="000D5197" w:rsidRDefault="000D5197" w:rsidP="000D5197">
      <w:pPr>
        <w:pStyle w:val="ListParagraph"/>
        <w:numPr>
          <w:ilvl w:val="3"/>
          <w:numId w:val="1"/>
        </w:numPr>
      </w:pPr>
      <w:r>
        <w:t>Flux weakening disabled shown here:</w:t>
      </w:r>
    </w:p>
    <w:p w14:paraId="1CC93BC1" w14:textId="36056F9C" w:rsidR="001F19FF" w:rsidRDefault="001F19FF" w:rsidP="001F19FF">
      <w:pPr>
        <w:ind w:left="2520"/>
      </w:pPr>
      <w:r w:rsidRPr="001F19FF">
        <w:rPr>
          <w:noProof/>
        </w:rPr>
        <w:drawing>
          <wp:inline distT="0" distB="0" distL="0" distR="0" wp14:anchorId="09977BE8" wp14:editId="7003CC08">
            <wp:extent cx="3795403" cy="2070846"/>
            <wp:effectExtent l="19050" t="19050" r="14605" b="24765"/>
            <wp:docPr id="316207000" name="Picture 1" descr="Diagram, schematic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207000" name="Picture 1" descr="Diagram, schematic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03689" cy="207536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336CFA0" w14:textId="6E2162DD" w:rsidR="00F8570A" w:rsidRDefault="002D6790" w:rsidP="00F8570A">
      <w:pPr>
        <w:pStyle w:val="ListParagraph"/>
        <w:numPr>
          <w:ilvl w:val="2"/>
          <w:numId w:val="1"/>
        </w:numPr>
      </w:pPr>
      <w:r>
        <w:t>Dynamic Braking Unit</w:t>
      </w:r>
    </w:p>
    <w:p w14:paraId="0CF03BAA" w14:textId="4F8D3AAA" w:rsidR="002D6790" w:rsidRDefault="007532CA" w:rsidP="002D6790">
      <w:pPr>
        <w:pStyle w:val="ListParagraph"/>
        <w:numPr>
          <w:ilvl w:val="3"/>
          <w:numId w:val="1"/>
        </w:numPr>
      </w:pPr>
      <w:r>
        <w:t xml:space="preserve">Models the Dynamic Braking Chopper using </w:t>
      </w:r>
      <w:r w:rsidR="00D3759A">
        <w:t>Simulink’s One-Quadrant Chopper block</w:t>
      </w:r>
      <w:r w:rsidR="00A4278A">
        <w:t xml:space="preserve"> feeding a resistor</w:t>
      </w:r>
      <w:r w:rsidR="00D3759A">
        <w:t xml:space="preserve">. Controls are set to kick in at a prescribed </w:t>
      </w:r>
      <w:r w:rsidR="00A4278A">
        <w:t>DC link voltage. Incorporates controls to limit power to an average of 25% of rated power.</w:t>
      </w:r>
    </w:p>
    <w:p w14:paraId="350660FD" w14:textId="5255D8FC" w:rsidR="008F3F43" w:rsidRDefault="008F3F43" w:rsidP="008F3F43">
      <w:pPr>
        <w:pStyle w:val="ListParagraph"/>
        <w:numPr>
          <w:ilvl w:val="2"/>
          <w:numId w:val="1"/>
        </w:numPr>
      </w:pPr>
      <w:r>
        <w:t>Inverter and Grid Tie</w:t>
      </w:r>
    </w:p>
    <w:p w14:paraId="2C4F7849" w14:textId="165C8F4C" w:rsidR="008F3F43" w:rsidRDefault="008F3F43" w:rsidP="008F3F43">
      <w:pPr>
        <w:pStyle w:val="ListParagraph"/>
        <w:numPr>
          <w:ilvl w:val="3"/>
          <w:numId w:val="1"/>
        </w:numPr>
      </w:pPr>
      <w:r>
        <w:t>Models the interface to the power grid using Simulink’s Average-Value Voltage Source Converter Block (Three-Phase)</w:t>
      </w:r>
      <w:r w:rsidR="006E6FDF">
        <w:t>, circuit breaker, step-up transformer and nominal load.</w:t>
      </w:r>
    </w:p>
    <w:p w14:paraId="1EEF17D6" w14:textId="33F45640" w:rsidR="006E6FDF" w:rsidRDefault="00C219E8" w:rsidP="00C219E8">
      <w:pPr>
        <w:pStyle w:val="ListParagraph"/>
        <w:numPr>
          <w:ilvl w:val="2"/>
          <w:numId w:val="1"/>
        </w:numPr>
      </w:pPr>
      <w:r>
        <w:t>BESS Current Control</w:t>
      </w:r>
    </w:p>
    <w:p w14:paraId="1FA63347" w14:textId="6FD9EB3D" w:rsidR="00C219E8" w:rsidRDefault="00C219E8" w:rsidP="00C219E8">
      <w:pPr>
        <w:pStyle w:val="ListParagraph"/>
        <w:numPr>
          <w:ilvl w:val="3"/>
          <w:numId w:val="1"/>
        </w:numPr>
      </w:pPr>
      <w:r>
        <w:t>Models</w:t>
      </w:r>
      <w:r w:rsidR="001F18DA">
        <w:t xml:space="preserve"> the Battery Energy Storage System using Simulink’s Bidirectional DC-DC Converter block and a battery matching the </w:t>
      </w:r>
      <w:proofErr w:type="spellStart"/>
      <w:r w:rsidR="001F18DA">
        <w:t>StingRAY’s</w:t>
      </w:r>
      <w:proofErr w:type="spellEnd"/>
      <w:r w:rsidR="001F18DA">
        <w:t xml:space="preserve"> system parameters</w:t>
      </w:r>
      <w:r w:rsidR="002D639B">
        <w:t>.</w:t>
      </w:r>
    </w:p>
    <w:p w14:paraId="43FCA535" w14:textId="49795821" w:rsidR="002D639B" w:rsidRDefault="002D639B" w:rsidP="002D639B">
      <w:pPr>
        <w:pStyle w:val="ListParagraph"/>
        <w:numPr>
          <w:ilvl w:val="2"/>
          <w:numId w:val="1"/>
        </w:numPr>
      </w:pPr>
      <w:r>
        <w:t>System Control Block</w:t>
      </w:r>
    </w:p>
    <w:p w14:paraId="058470DA" w14:textId="4594F4E9" w:rsidR="002D639B" w:rsidRDefault="00D755BA" w:rsidP="002D639B">
      <w:pPr>
        <w:pStyle w:val="ListParagraph"/>
        <w:numPr>
          <w:ilvl w:val="3"/>
          <w:numId w:val="1"/>
        </w:numPr>
      </w:pPr>
      <w:r>
        <w:t>Overall system controls are implemented within this block. Subsystems are Grid CB Close Logic, PMSG CB Logic, DBU Logic, Inverter Current Control, BESS KW Control, and Torque Monitor.</w:t>
      </w:r>
    </w:p>
    <w:p w14:paraId="227B50AD" w14:textId="77777777" w:rsidR="000D5197" w:rsidRDefault="000D5197" w:rsidP="000D5197"/>
    <w:sectPr w:rsidR="000D5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42A50"/>
    <w:multiLevelType w:val="hybridMultilevel"/>
    <w:tmpl w:val="E75E8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21F67"/>
    <w:multiLevelType w:val="hybridMultilevel"/>
    <w:tmpl w:val="B412B276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584684214">
    <w:abstractNumId w:val="0"/>
  </w:num>
  <w:num w:numId="2" w16cid:durableId="1562518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E6A"/>
    <w:rsid w:val="000135A9"/>
    <w:rsid w:val="00042899"/>
    <w:rsid w:val="00045FAC"/>
    <w:rsid w:val="00051680"/>
    <w:rsid w:val="000550D2"/>
    <w:rsid w:val="000560CC"/>
    <w:rsid w:val="00076328"/>
    <w:rsid w:val="000A176F"/>
    <w:rsid w:val="000D5197"/>
    <w:rsid w:val="0010011F"/>
    <w:rsid w:val="001157BA"/>
    <w:rsid w:val="00130E19"/>
    <w:rsid w:val="001400E6"/>
    <w:rsid w:val="00175D44"/>
    <w:rsid w:val="00183297"/>
    <w:rsid w:val="001B5F5B"/>
    <w:rsid w:val="001D17FB"/>
    <w:rsid w:val="001F18DA"/>
    <w:rsid w:val="001F19FF"/>
    <w:rsid w:val="0023240B"/>
    <w:rsid w:val="00251F4B"/>
    <w:rsid w:val="002761C7"/>
    <w:rsid w:val="00281595"/>
    <w:rsid w:val="002C0209"/>
    <w:rsid w:val="002C0435"/>
    <w:rsid w:val="002D639B"/>
    <w:rsid w:val="002D6790"/>
    <w:rsid w:val="00312DB8"/>
    <w:rsid w:val="003201AD"/>
    <w:rsid w:val="003342DC"/>
    <w:rsid w:val="003A0DEF"/>
    <w:rsid w:val="003B6E84"/>
    <w:rsid w:val="003F2F68"/>
    <w:rsid w:val="00401261"/>
    <w:rsid w:val="00404814"/>
    <w:rsid w:val="0041622F"/>
    <w:rsid w:val="00437564"/>
    <w:rsid w:val="004B50FF"/>
    <w:rsid w:val="004E589F"/>
    <w:rsid w:val="004F59C2"/>
    <w:rsid w:val="00531AAF"/>
    <w:rsid w:val="00551C55"/>
    <w:rsid w:val="005662B8"/>
    <w:rsid w:val="00577E3B"/>
    <w:rsid w:val="0059301D"/>
    <w:rsid w:val="005E5389"/>
    <w:rsid w:val="005F1B89"/>
    <w:rsid w:val="005F409C"/>
    <w:rsid w:val="00625C0B"/>
    <w:rsid w:val="00627FF7"/>
    <w:rsid w:val="00685024"/>
    <w:rsid w:val="006A7546"/>
    <w:rsid w:val="006E6FDF"/>
    <w:rsid w:val="00737702"/>
    <w:rsid w:val="00744F44"/>
    <w:rsid w:val="007532CA"/>
    <w:rsid w:val="0076221D"/>
    <w:rsid w:val="007746DA"/>
    <w:rsid w:val="00797227"/>
    <w:rsid w:val="007D56FC"/>
    <w:rsid w:val="00803B7C"/>
    <w:rsid w:val="0082215A"/>
    <w:rsid w:val="0082372C"/>
    <w:rsid w:val="008565F0"/>
    <w:rsid w:val="00890220"/>
    <w:rsid w:val="008A2290"/>
    <w:rsid w:val="008A46BF"/>
    <w:rsid w:val="008C75F0"/>
    <w:rsid w:val="008D5F62"/>
    <w:rsid w:val="008E50B7"/>
    <w:rsid w:val="008F3F43"/>
    <w:rsid w:val="009835F2"/>
    <w:rsid w:val="009A231A"/>
    <w:rsid w:val="009E69EB"/>
    <w:rsid w:val="009E7477"/>
    <w:rsid w:val="009E74E2"/>
    <w:rsid w:val="009F6D37"/>
    <w:rsid w:val="009F7050"/>
    <w:rsid w:val="00A17FCF"/>
    <w:rsid w:val="00A4278A"/>
    <w:rsid w:val="00A44167"/>
    <w:rsid w:val="00A92517"/>
    <w:rsid w:val="00AB3739"/>
    <w:rsid w:val="00AB5F35"/>
    <w:rsid w:val="00AB7310"/>
    <w:rsid w:val="00AF5CF0"/>
    <w:rsid w:val="00B16891"/>
    <w:rsid w:val="00B54F30"/>
    <w:rsid w:val="00B65151"/>
    <w:rsid w:val="00B80094"/>
    <w:rsid w:val="00B86F76"/>
    <w:rsid w:val="00B97CFF"/>
    <w:rsid w:val="00C03AD1"/>
    <w:rsid w:val="00C219E8"/>
    <w:rsid w:val="00C35049"/>
    <w:rsid w:val="00C73F9F"/>
    <w:rsid w:val="00C84D46"/>
    <w:rsid w:val="00CB01C1"/>
    <w:rsid w:val="00CB22C4"/>
    <w:rsid w:val="00D03B25"/>
    <w:rsid w:val="00D13D42"/>
    <w:rsid w:val="00D3759A"/>
    <w:rsid w:val="00D53159"/>
    <w:rsid w:val="00D72324"/>
    <w:rsid w:val="00D755BA"/>
    <w:rsid w:val="00DB3620"/>
    <w:rsid w:val="00DC4426"/>
    <w:rsid w:val="00DD1A65"/>
    <w:rsid w:val="00E452ED"/>
    <w:rsid w:val="00E64B3A"/>
    <w:rsid w:val="00E92439"/>
    <w:rsid w:val="00EA3C1B"/>
    <w:rsid w:val="00EB4388"/>
    <w:rsid w:val="00EC5490"/>
    <w:rsid w:val="00EC7F4B"/>
    <w:rsid w:val="00F35DE2"/>
    <w:rsid w:val="00F8570A"/>
    <w:rsid w:val="00F92AFD"/>
    <w:rsid w:val="00F92E82"/>
    <w:rsid w:val="00FD2BE1"/>
    <w:rsid w:val="00FF1E6A"/>
    <w:rsid w:val="00FF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F0542"/>
  <w15:chartTrackingRefBased/>
  <w15:docId w15:val="{26BA3EB2-6713-42CC-9D31-DCA822C0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2C4"/>
    <w:pPr>
      <w:spacing w:after="0" w:line="240" w:lineRule="auto"/>
    </w:pPr>
    <w:rPr>
      <w:rFonts w:ascii="Times New Roman" w:hAnsi="Times New Roman" w:cs="Times New Roman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1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E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E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E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E6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E6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E6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E6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iPriority w:val="35"/>
    <w:unhideWhenUsed/>
    <w:qFormat/>
    <w:rsid w:val="00CB22C4"/>
    <w:pPr>
      <w:spacing w:after="200"/>
      <w:jc w:val="center"/>
    </w:pPr>
    <w:rPr>
      <w:iCs/>
      <w:color w:val="000000" w:themeColor="text1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F1E6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E6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E6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E6A"/>
    <w:rPr>
      <w:rFonts w:eastAsiaTheme="majorEastAsia" w:cstheme="majorBidi"/>
      <w:i/>
      <w:iCs/>
      <w:color w:val="0F4761" w:themeColor="accent1" w:themeShade="BF"/>
      <w:kern w:val="0"/>
      <w:sz w:val="22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E6A"/>
    <w:rPr>
      <w:rFonts w:eastAsiaTheme="majorEastAsia" w:cstheme="majorBidi"/>
      <w:color w:val="0F4761" w:themeColor="accent1" w:themeShade="BF"/>
      <w:kern w:val="0"/>
      <w:sz w:val="22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E6A"/>
    <w:rPr>
      <w:rFonts w:eastAsiaTheme="majorEastAsia" w:cstheme="majorBidi"/>
      <w:i/>
      <w:iCs/>
      <w:color w:val="595959" w:themeColor="text1" w:themeTint="A6"/>
      <w:kern w:val="0"/>
      <w:sz w:val="22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E6A"/>
    <w:rPr>
      <w:rFonts w:eastAsiaTheme="majorEastAsia" w:cstheme="majorBidi"/>
      <w:color w:val="595959" w:themeColor="text1" w:themeTint="A6"/>
      <w:kern w:val="0"/>
      <w:sz w:val="22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E6A"/>
    <w:rPr>
      <w:rFonts w:eastAsiaTheme="majorEastAsia" w:cstheme="majorBidi"/>
      <w:i/>
      <w:iCs/>
      <w:color w:val="272727" w:themeColor="text1" w:themeTint="D8"/>
      <w:kern w:val="0"/>
      <w:sz w:val="22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E6A"/>
    <w:rPr>
      <w:rFonts w:eastAsiaTheme="majorEastAsia" w:cstheme="majorBidi"/>
      <w:color w:val="272727" w:themeColor="text1" w:themeTint="D8"/>
      <w:kern w:val="0"/>
      <w:sz w:val="22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F1E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E6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E6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E6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F1E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E6A"/>
    <w:rPr>
      <w:rFonts w:ascii="Times New Roman" w:hAnsi="Times New Roman" w:cs="Times New Roman"/>
      <w:i/>
      <w:iCs/>
      <w:color w:val="404040" w:themeColor="text1" w:themeTint="BF"/>
      <w:kern w:val="0"/>
      <w:sz w:val="22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FF1E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E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E6A"/>
    <w:rPr>
      <w:rFonts w:ascii="Times New Roman" w:hAnsi="Times New Roman" w:cs="Times New Roman"/>
      <w:i/>
      <w:iCs/>
      <w:color w:val="0F4761" w:themeColor="accent1" w:themeShade="BF"/>
      <w:kern w:val="0"/>
      <w:sz w:val="22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F1E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Swindler</dc:creator>
  <cp:keywords/>
  <dc:description/>
  <cp:lastModifiedBy>Steve Swindler</cp:lastModifiedBy>
  <cp:revision>109</cp:revision>
  <dcterms:created xsi:type="dcterms:W3CDTF">2026-04-28T15:10:00Z</dcterms:created>
  <dcterms:modified xsi:type="dcterms:W3CDTF">2026-05-01T20:49:00Z</dcterms:modified>
</cp:coreProperties>
</file>